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4F" w:rsidRDefault="00A74F48" w:rsidP="008775E4">
      <w:pPr>
        <w:rPr>
          <w:rFonts w:ascii="Times New Roman" w:hAnsi="Times New Roman" w:cs="Times New Roman"/>
          <w:b/>
          <w:sz w:val="24"/>
          <w:szCs w:val="24"/>
        </w:rPr>
      </w:pPr>
      <w:r w:rsidRPr="00B26709">
        <w:rPr>
          <w:rFonts w:ascii="Times New Roman" w:hAnsi="Times New Roman" w:cs="Times New Roman"/>
          <w:b/>
          <w:sz w:val="24"/>
          <w:szCs w:val="24"/>
        </w:rPr>
        <w:t>Osnovn</w:t>
      </w:r>
      <w:r w:rsidR="009B3255">
        <w:rPr>
          <w:rFonts w:ascii="Times New Roman" w:hAnsi="Times New Roman" w:cs="Times New Roman"/>
          <w:b/>
          <w:sz w:val="24"/>
          <w:szCs w:val="24"/>
        </w:rPr>
        <w:t xml:space="preserve">a Škola Hvar </w:t>
      </w:r>
    </w:p>
    <w:p w:rsidR="00A74F48" w:rsidRDefault="009B3255" w:rsidP="008775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Školska godina 2021./2022</w:t>
      </w:r>
      <w:r w:rsidR="008775E4" w:rsidRPr="00B267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P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5D1341" w:rsidRDefault="008775E4" w:rsidP="00B26709">
      <w:pPr>
        <w:jc w:val="center"/>
        <w:rPr>
          <w:rFonts w:ascii="Times New Roman" w:hAnsi="Times New Roman" w:cs="Times New Roman"/>
          <w:sz w:val="48"/>
          <w:szCs w:val="48"/>
        </w:rPr>
      </w:pPr>
      <w:r w:rsidRPr="00B26709">
        <w:rPr>
          <w:rFonts w:ascii="Times New Roman" w:hAnsi="Times New Roman" w:cs="Times New Roman"/>
          <w:sz w:val="48"/>
          <w:szCs w:val="48"/>
        </w:rPr>
        <w:t>Kriteriji vrednovanja</w:t>
      </w:r>
    </w:p>
    <w:p w:rsidR="00A74F48" w:rsidRDefault="008775E4" w:rsidP="00B26709">
      <w:pPr>
        <w:jc w:val="center"/>
        <w:rPr>
          <w:rFonts w:ascii="Times New Roman" w:hAnsi="Times New Roman" w:cs="Times New Roman"/>
          <w:sz w:val="48"/>
          <w:szCs w:val="48"/>
        </w:rPr>
      </w:pPr>
      <w:r w:rsidRPr="00B26709">
        <w:rPr>
          <w:rFonts w:ascii="Times New Roman" w:hAnsi="Times New Roman" w:cs="Times New Roman"/>
          <w:sz w:val="48"/>
          <w:szCs w:val="48"/>
        </w:rPr>
        <w:t xml:space="preserve"> MATEMATIKA</w:t>
      </w:r>
      <w:r w:rsidR="005D1341">
        <w:rPr>
          <w:rFonts w:ascii="Times New Roman" w:hAnsi="Times New Roman" w:cs="Times New Roman"/>
          <w:sz w:val="48"/>
          <w:szCs w:val="48"/>
        </w:rPr>
        <w:t xml:space="preserve"> 7.i 8. razred.</w:t>
      </w:r>
    </w:p>
    <w:p w:rsidR="00B26709" w:rsidRDefault="00B26709" w:rsidP="00B26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26709" w:rsidRDefault="00B26709" w:rsidP="00B26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26709" w:rsidRDefault="00B26709" w:rsidP="00B26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26709" w:rsidRDefault="00B26709" w:rsidP="00B26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26709" w:rsidRDefault="00B26709" w:rsidP="00B26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26709" w:rsidRDefault="00B26709" w:rsidP="00B26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26709" w:rsidRDefault="00B26709" w:rsidP="00B26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26709" w:rsidRDefault="00B26709" w:rsidP="00B26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26709" w:rsidRDefault="00B26709" w:rsidP="00B26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26709" w:rsidRDefault="00B26709" w:rsidP="00B2670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74F48" w:rsidRPr="00B26709" w:rsidRDefault="00A74F48" w:rsidP="008775E4">
      <w:pPr>
        <w:rPr>
          <w:rFonts w:ascii="Times New Roman" w:hAnsi="Times New Roman" w:cs="Times New Roman"/>
          <w:b/>
          <w:sz w:val="24"/>
          <w:szCs w:val="24"/>
        </w:rPr>
      </w:pPr>
      <w:r w:rsidRPr="00B26709">
        <w:rPr>
          <w:rFonts w:ascii="Times New Roman" w:hAnsi="Times New Roman" w:cs="Times New Roman"/>
          <w:b/>
          <w:sz w:val="24"/>
          <w:szCs w:val="24"/>
        </w:rPr>
        <w:t>Učitelj: Luka Šurjak</w:t>
      </w:r>
      <w:r w:rsidR="008775E4" w:rsidRPr="00B267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F48" w:rsidRPr="00B26709" w:rsidRDefault="00A74F48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Vrednovanje postignuća učenika bitan je faktor u svakom nastavnom predmetu. Kroz prikupljanje i interpretaciju podataka učenik i nastavnik dobivaju povratnu informaciju o učenikovom napretku pri usvajanju ishoda. </w:t>
      </w: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U nastavi matematike vrednuju se slijedeći elementi: </w:t>
      </w:r>
    </w:p>
    <w:p w:rsidR="00B26709" w:rsidRPr="00B26709" w:rsidRDefault="008775E4" w:rsidP="00B267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Usvojenost znanja i vještina </w:t>
      </w:r>
    </w:p>
    <w:p w:rsidR="00B26709" w:rsidRPr="00B26709" w:rsidRDefault="008775E4" w:rsidP="00B26709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Kroz ovaj element vrednovanja učenik opisuje matematičke pojmove, odabire odgovarajuće i matematički ispravne procedure te ih provodi. Učitelj provjerava ispravnost provođenja matematičkih postupaka kod učenika i utvrđuje smislenost dobivenog rezultata. Učenik upotrebljava i povezuje matematiče koncepte. </w:t>
      </w:r>
    </w:p>
    <w:p w:rsidR="00B26709" w:rsidRPr="00B26709" w:rsidRDefault="008775E4" w:rsidP="00B267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Matematička komunikacija </w:t>
      </w:r>
    </w:p>
    <w:p w:rsidR="00B26709" w:rsidRPr="00B26709" w:rsidRDefault="008775E4" w:rsidP="00B26709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Ovim elementom vrednuje se da li se učenik koristi odgovarajućim matematičkim jezikom kao što su primjena standardnih matematičkih simbola, zapisa i terminologije pri usmenome i pisanome izražavanju. Učenik se koristi odgovarajućim matematičkim prikazima za predstavljanje podataka, prelazi između različitih matematičkih prikaza. Svoje razmišljanje iznosi cjelovitim, suvislim i sažetim matematičkim rečenicama. Postavlja pitanja i odgovara na pitanja koja nadilaze opseg izvorno postavljenog pitanja. Organizira informacije u logičku strukturu te se primjereno koristi tehnologijom. </w:t>
      </w:r>
    </w:p>
    <w:p w:rsidR="00B26709" w:rsidRPr="00B26709" w:rsidRDefault="008775E4" w:rsidP="00B267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Rješavanje problema </w:t>
      </w:r>
    </w:p>
    <w:p w:rsidR="00B26709" w:rsidRDefault="008775E4" w:rsidP="00B26709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>Posljednjim elementom vrednuje se da li učenik prepoznaje relevantne elemente problema i naslućuje metode rješavanja. Učenik uspješno primjenjuje odabranu matematičku metodu pri rješavanju problema, modelira matematičkim zakonitostima problemske situacije uz raspravu. Ispravno rješava probleme u različitim kontekstima, provjerava ispravnost matematičkih postupaka i utvrđuje smislenost rješavanja problema te generalizira rješenje. Vrednovanje za učenje i vrednovanje kao učenje provodi se prikupljanjem podataka o učenikovu radu i postignućima (ciljana pitanja, rad u skupini, domaće zadaće,</w:t>
      </w:r>
      <w:r w:rsidR="005D1341">
        <w:rPr>
          <w:rFonts w:ascii="Times New Roman" w:hAnsi="Times New Roman" w:cs="Times New Roman"/>
          <w:sz w:val="24"/>
          <w:szCs w:val="24"/>
        </w:rPr>
        <w:t xml:space="preserve"> </w:t>
      </w:r>
      <w:r w:rsidRPr="00B26709">
        <w:rPr>
          <w:rFonts w:ascii="Times New Roman" w:hAnsi="Times New Roman" w:cs="Times New Roman"/>
          <w:sz w:val="24"/>
          <w:szCs w:val="24"/>
        </w:rPr>
        <w:t>kratke pisane vježbe, prezentacije…) i kritičkim osvrtom učenika i učitelja na proces učenja i poučavanja. Učenika se skupnim raspravama na satu i individualnim konzultacijama potiče na samo</w:t>
      </w:r>
      <w:r w:rsidR="005D1341">
        <w:rPr>
          <w:rFonts w:ascii="Times New Roman" w:hAnsi="Times New Roman" w:cs="Times New Roman"/>
          <w:sz w:val="24"/>
          <w:szCs w:val="24"/>
        </w:rPr>
        <w:t xml:space="preserve"> </w:t>
      </w:r>
      <w:r w:rsidRPr="00B26709">
        <w:rPr>
          <w:rFonts w:ascii="Times New Roman" w:hAnsi="Times New Roman" w:cs="Times New Roman"/>
          <w:sz w:val="24"/>
          <w:szCs w:val="24"/>
        </w:rPr>
        <w:t>vrednovanje postignuća i planiranje učenja. Ti oblici vrednovanja iskazuju se opisno i služe kao jasna povratna informacija učeniku i roditelju o razini usvojenost</w:t>
      </w:r>
      <w:r w:rsidR="00B26709" w:rsidRPr="00B26709">
        <w:rPr>
          <w:rFonts w:ascii="Times New Roman" w:hAnsi="Times New Roman" w:cs="Times New Roman"/>
          <w:sz w:val="24"/>
          <w:szCs w:val="24"/>
        </w:rPr>
        <w:t>i ishoda u odnosu na očekivanja</w:t>
      </w:r>
    </w:p>
    <w:p w:rsidR="00B26709" w:rsidRDefault="00B26709" w:rsidP="00B26709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B26709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B26709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B26709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B26709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B26709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B26709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B26709">
      <w:pPr>
        <w:rPr>
          <w:rFonts w:ascii="Times New Roman" w:hAnsi="Times New Roman" w:cs="Times New Roman"/>
          <w:sz w:val="24"/>
          <w:szCs w:val="24"/>
        </w:rPr>
      </w:pPr>
    </w:p>
    <w:p w:rsidR="00B26709" w:rsidRPr="00B26709" w:rsidRDefault="00B26709" w:rsidP="00B26709">
      <w:pPr>
        <w:rPr>
          <w:rFonts w:ascii="Times New Roman" w:hAnsi="Times New Roman" w:cs="Times New Roman"/>
          <w:sz w:val="24"/>
          <w:szCs w:val="24"/>
        </w:rPr>
      </w:pPr>
    </w:p>
    <w:p w:rsidR="00B26709" w:rsidRPr="005D1341" w:rsidRDefault="008775E4" w:rsidP="008775E4">
      <w:pPr>
        <w:rPr>
          <w:rFonts w:ascii="Times New Roman" w:hAnsi="Times New Roman" w:cs="Times New Roman"/>
          <w:b/>
          <w:sz w:val="28"/>
          <w:szCs w:val="28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 </w:t>
      </w:r>
      <w:r w:rsidRPr="005D1341">
        <w:rPr>
          <w:rFonts w:ascii="Times New Roman" w:hAnsi="Times New Roman" w:cs="Times New Roman"/>
          <w:b/>
          <w:sz w:val="28"/>
          <w:szCs w:val="28"/>
        </w:rPr>
        <w:t>Pismeno vrednovanje</w:t>
      </w:r>
    </w:p>
    <w:p w:rsidR="00B26709" w:rsidRPr="00B26709" w:rsidRDefault="00B26709" w:rsidP="008775E4">
      <w:pPr>
        <w:rPr>
          <w:rFonts w:ascii="Times New Roman" w:hAnsi="Times New Roman" w:cs="Times New Roman"/>
          <w:b/>
          <w:sz w:val="24"/>
          <w:szCs w:val="24"/>
        </w:rPr>
      </w:pP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 Pismene provjere koriste se kako bi se istovremeno vrednovalo znanje svih učenika u razredu iz jednog dijela kurikuluma. One nam služe kako bi se utvrdilo relativno postignuće pojedinca u odnosu prema učinku ostalih učenika razrednog odjela. Provode se tijekom cijele nastavne godine poslije usvojenih ishoda. Pisane provjere najavljuju se mjesec dana prije pisanja provjere</w:t>
      </w:r>
      <w:r w:rsidR="00B26709">
        <w:rPr>
          <w:rFonts w:ascii="Times New Roman" w:hAnsi="Times New Roman" w:cs="Times New Roman"/>
          <w:sz w:val="24"/>
          <w:szCs w:val="24"/>
        </w:rPr>
        <w:t>, eventualne promijene dovode se u komunikaciji s učenicima</w:t>
      </w:r>
      <w:r w:rsidRPr="00B26709">
        <w:rPr>
          <w:rFonts w:ascii="Times New Roman" w:hAnsi="Times New Roman" w:cs="Times New Roman"/>
          <w:sz w:val="24"/>
          <w:szCs w:val="24"/>
        </w:rPr>
        <w:t xml:space="preserve">. (članak 8., stavak 5.) </w:t>
      </w: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>Raspon postignuća izražen u postotcima za pojedinu ocjenu dan je u tablici.</w:t>
      </w: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 Ocjena</w:t>
      </w:r>
      <w:r w:rsidR="00B26709" w:rsidRPr="00B267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6709">
        <w:rPr>
          <w:rFonts w:ascii="Times New Roman" w:hAnsi="Times New Roman" w:cs="Times New Roman"/>
          <w:sz w:val="24"/>
          <w:szCs w:val="24"/>
        </w:rPr>
        <w:t xml:space="preserve"> Broj bodova (%)</w:t>
      </w: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 Nedovoljan (1) 0 </w:t>
      </w:r>
      <w:r w:rsidR="00B26709" w:rsidRPr="00B26709">
        <w:rPr>
          <w:rFonts w:ascii="Times New Roman" w:hAnsi="Times New Roman" w:cs="Times New Roman"/>
          <w:sz w:val="24"/>
          <w:szCs w:val="24"/>
        </w:rPr>
        <w:t>–</w:t>
      </w:r>
      <w:r w:rsidR="00B26709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B26709" w:rsidRP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Dovoljan (2) 45</w:t>
      </w:r>
      <w:r w:rsidR="008775E4" w:rsidRPr="00B26709">
        <w:rPr>
          <w:rFonts w:ascii="Times New Roman" w:hAnsi="Times New Roman" w:cs="Times New Roman"/>
          <w:sz w:val="24"/>
          <w:szCs w:val="24"/>
        </w:rPr>
        <w:t xml:space="preserve"> - 59 </w:t>
      </w: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Dobar (3) 60 - 74 </w:t>
      </w: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Vrlo dobar (4) 75 - 89 </w:t>
      </w: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Odličan (5) 90 - 100 </w:t>
      </w: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Inicijalnu pisanu provjeru učenici pišu na početku školske godine, a završnu pisanu provjeru na kraju školske godine te o njegovu pisanju svaki učitelji zasebno odlučuje te ga najavljuje učenicima. </w:t>
      </w:r>
    </w:p>
    <w:p w:rsid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>Ocjena nedovoljan iz pisanih provjera ispravlja se (usmenim ili pisanim putem) prema dogovoru s učiteljem najkasnije</w:t>
      </w:r>
      <w:r w:rsidR="00B26709">
        <w:rPr>
          <w:rFonts w:ascii="Times New Roman" w:hAnsi="Times New Roman" w:cs="Times New Roman"/>
          <w:sz w:val="24"/>
          <w:szCs w:val="24"/>
        </w:rPr>
        <w:t xml:space="preserve"> do dana pisanja sljedeće pismene provjere</w:t>
      </w:r>
      <w:r w:rsidRPr="00B26709">
        <w:rPr>
          <w:rFonts w:ascii="Times New Roman" w:hAnsi="Times New Roman" w:cs="Times New Roman"/>
          <w:sz w:val="24"/>
          <w:szCs w:val="24"/>
        </w:rPr>
        <w:t xml:space="preserve">. Ako se ocjena pisane provjere ne ispravi zaključna ocjena je nedovoljan i učenik se upućuje na dopunski rad. </w:t>
      </w: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P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8775E4" w:rsidP="008775E4">
      <w:pPr>
        <w:rPr>
          <w:rFonts w:ascii="Times New Roman" w:hAnsi="Times New Roman" w:cs="Times New Roman"/>
          <w:b/>
          <w:sz w:val="28"/>
          <w:szCs w:val="28"/>
        </w:rPr>
      </w:pPr>
      <w:r w:rsidRPr="005D1341">
        <w:rPr>
          <w:rFonts w:ascii="Times New Roman" w:hAnsi="Times New Roman" w:cs="Times New Roman"/>
          <w:b/>
          <w:sz w:val="28"/>
          <w:szCs w:val="28"/>
        </w:rPr>
        <w:t>Usmeno vrednovanje</w:t>
      </w:r>
    </w:p>
    <w:p w:rsidR="005D1341" w:rsidRPr="005D1341" w:rsidRDefault="005D1341" w:rsidP="008775E4">
      <w:pPr>
        <w:rPr>
          <w:rFonts w:ascii="Times New Roman" w:hAnsi="Times New Roman" w:cs="Times New Roman"/>
          <w:b/>
          <w:sz w:val="28"/>
          <w:szCs w:val="28"/>
        </w:rPr>
      </w:pPr>
    </w:p>
    <w:p w:rsid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 </w:t>
      </w:r>
      <w:r w:rsidRPr="005D1341">
        <w:rPr>
          <w:rFonts w:ascii="Times New Roman" w:hAnsi="Times New Roman" w:cs="Times New Roman"/>
          <w:sz w:val="24"/>
          <w:szCs w:val="24"/>
          <w:u w:val="single"/>
        </w:rPr>
        <w:t>Usmeno provjeravanje i vrednovanje učenikovog znanja provodi se redovito, gotovo na svakom nastavnom satu tijekom cijele nastavne godine i ne mora se najaviti te se može vrednovati bilo koji iz već navedenih elemenata ocjenjivanja</w:t>
      </w:r>
      <w:r w:rsidRPr="00B26709">
        <w:rPr>
          <w:rFonts w:ascii="Times New Roman" w:hAnsi="Times New Roman" w:cs="Times New Roman"/>
          <w:sz w:val="24"/>
          <w:szCs w:val="24"/>
        </w:rPr>
        <w:t>. Valja napomenuti da se ocjena daje javno u razrednom odjelu. Ocjenu mora pratiti i obrazloženje</w:t>
      </w:r>
      <w:r w:rsidR="00B26709">
        <w:rPr>
          <w:rFonts w:ascii="Times New Roman" w:hAnsi="Times New Roman" w:cs="Times New Roman"/>
          <w:sz w:val="24"/>
          <w:szCs w:val="24"/>
        </w:rPr>
        <w:t xml:space="preserve"> određenog dijela kurikuluma </w:t>
      </w:r>
      <w:r w:rsidR="005D1341">
        <w:rPr>
          <w:rFonts w:ascii="Times New Roman" w:hAnsi="Times New Roman" w:cs="Times New Roman"/>
          <w:sz w:val="24"/>
          <w:szCs w:val="24"/>
        </w:rPr>
        <w:t>prema kojemu je i ocijenjen</w:t>
      </w:r>
      <w:r w:rsidRPr="00B26709">
        <w:rPr>
          <w:rFonts w:ascii="Times New Roman" w:hAnsi="Times New Roman" w:cs="Times New Roman"/>
          <w:sz w:val="24"/>
          <w:szCs w:val="24"/>
        </w:rPr>
        <w:t xml:space="preserve">. U predmetu Matematika postignuća učenika vrednuju se brojčanom ocjenom (nedovoljan-1, dovoljan-2 dobar-3, vrlo dobar-4, odličan-5)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1984"/>
        <w:gridCol w:w="1984"/>
        <w:gridCol w:w="1984"/>
        <w:gridCol w:w="2056"/>
      </w:tblGrid>
      <w:tr w:rsidR="00B26709" w:rsidTr="001E5BD6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Default="00B26709" w:rsidP="001E5BD6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razina/standard</w:t>
            </w:r>
          </w:p>
        </w:tc>
      </w:tr>
      <w:tr w:rsidR="00B26709" w:rsidRPr="00F1425C" w:rsidTr="001E5BD6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F1425C" w:rsidRDefault="00B26709" w:rsidP="001E5BD6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F1425C" w:rsidRDefault="00B26709" w:rsidP="001E5BD6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F1425C" w:rsidRDefault="00B26709" w:rsidP="001E5BD6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F1425C" w:rsidRDefault="00B26709" w:rsidP="001E5BD6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F1425C" w:rsidRDefault="00B26709" w:rsidP="001E5BD6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5</w:t>
            </w:r>
          </w:p>
        </w:tc>
      </w:tr>
      <w:tr w:rsidR="00B26709" w:rsidTr="001E5BD6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F1425C" w:rsidRDefault="00B26709" w:rsidP="001E5BD6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usvojenost sadržaja</w:t>
            </w:r>
          </w:p>
          <w:p w:rsidR="00B26709" w:rsidRDefault="00B26709" w:rsidP="001E5BD6">
            <w:pPr>
              <w:spacing w:before="100" w:after="100" w:line="240" w:lineRule="auto"/>
              <w:jc w:val="center"/>
            </w:pPr>
            <w:r>
              <w:rPr>
                <w:rFonts w:ascii="PI Barlow MAT Light" w:eastAsia="Times New Roman" w:hAnsi="PI Barlow MAT Light" w:cs="Calibri"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52006392" wp14:editId="73F8C475">
                  <wp:extent cx="894706" cy="876300"/>
                  <wp:effectExtent l="0" t="0" r="127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4" cy="89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136526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temeljne činjenice, ali nisu usvojeni temeljni koncepti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136526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temeljne činjenice i neki od predviđenih koncepata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136526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sve bitne činjenice i većina temeljnih koncepata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136526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sve predviđene činjenice i svi predviđeni koncepti</w:t>
            </w:r>
          </w:p>
        </w:tc>
      </w:tr>
      <w:tr w:rsidR="00B26709" w:rsidTr="001E5BD6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Default="00B26709" w:rsidP="001E5BD6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Cs/>
                <w:color w:val="000000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rješavanje</w:t>
            </w:r>
            <w:r>
              <w:rPr>
                <w:rFonts w:ascii="PI Barlow MAT Light" w:eastAsia="Times New Roman" w:hAnsi="PI Barlow MAT Light" w:cs="Calibri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problema</w:t>
            </w:r>
          </w:p>
          <w:p w:rsidR="00B26709" w:rsidRDefault="00B26709" w:rsidP="001E5BD6">
            <w:pPr>
              <w:spacing w:before="100" w:after="100" w:line="240" w:lineRule="auto"/>
              <w:jc w:val="center"/>
            </w:pPr>
            <w:r>
              <w:rPr>
                <w:rFonts w:ascii="PI Barlow MAT Light" w:eastAsia="Times New Roman" w:hAnsi="PI Barlow MAT Light" w:cs="Calibri"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2995B657" wp14:editId="6F80E891">
                  <wp:extent cx="845000" cy="8229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44" cy="83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136526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sposoban je rješavati jednostavne probleme uz pomoć nastavnika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136526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rješava jednostavne probleme, ali složene probleme ne rješava ni uz pomoć nastavnika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136526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rješava jednostavne probleme, a složene probleme rješava uz pomoć nastavnika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136526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rješava jednostavne i složene probleme</w:t>
            </w:r>
          </w:p>
        </w:tc>
      </w:tr>
      <w:tr w:rsidR="00B26709" w:rsidTr="001E5BD6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Default="00B26709" w:rsidP="001E5BD6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Cs/>
                <w:color w:val="000000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matematička</w:t>
            </w:r>
            <w:r>
              <w:rPr>
                <w:rFonts w:ascii="PI Barlow MAT Light" w:eastAsia="Times New Roman" w:hAnsi="PI Barlow MAT Light" w:cs="Calibri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komunikacija</w:t>
            </w:r>
          </w:p>
          <w:p w:rsidR="00B26709" w:rsidRDefault="00B26709" w:rsidP="001E5BD6">
            <w:pPr>
              <w:spacing w:before="100" w:after="100" w:line="240" w:lineRule="auto"/>
              <w:jc w:val="center"/>
            </w:pPr>
            <w:r>
              <w:rPr>
                <w:rFonts w:ascii="PI Barlow MAT Light" w:eastAsia="Times New Roman" w:hAnsi="PI Barlow MAT Light" w:cs="Calibri"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3F66EF06" wp14:editId="6AEC85D4">
                  <wp:extent cx="866140" cy="12954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33" cy="129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136526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uz pomoć nastavnika primjenjuje elemente matematičke komunikacije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136526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primjenjuje elemente matematičku komunikaciju pri obavljanju jednostavnih praktičnih zadataka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136526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koristi matematičku komunikaciju u jednostavnim praktičnim zadatcima, a uz pomoć nastavnika i u složenijim praktičnim zadatcima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9" w:rsidRPr="00136526" w:rsidRDefault="00B26709" w:rsidP="001E5BD6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koristi matematičku komunikaciju u  jednostavnim i složenim praktičnim zadatcima</w:t>
            </w:r>
          </w:p>
        </w:tc>
      </w:tr>
    </w:tbl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P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B26709" w:rsidRPr="00B26709" w:rsidRDefault="00B26709" w:rsidP="008775E4">
      <w:pPr>
        <w:rPr>
          <w:rFonts w:ascii="Times New Roman" w:hAnsi="Times New Roman" w:cs="Times New Roman"/>
          <w:sz w:val="24"/>
          <w:szCs w:val="24"/>
        </w:rPr>
      </w:pPr>
    </w:p>
    <w:p w:rsidR="005D1341" w:rsidRPr="005D1341" w:rsidRDefault="005D1341" w:rsidP="005D1341">
      <w:pPr>
        <w:rPr>
          <w:rFonts w:ascii="Times New Roman" w:hAnsi="Times New Roman" w:cs="Times New Roman"/>
          <w:b/>
          <w:sz w:val="28"/>
          <w:szCs w:val="28"/>
        </w:rPr>
      </w:pPr>
      <w:r w:rsidRPr="005D1341">
        <w:rPr>
          <w:rFonts w:ascii="Times New Roman" w:hAnsi="Times New Roman" w:cs="Times New Roman"/>
          <w:b/>
          <w:sz w:val="28"/>
          <w:szCs w:val="28"/>
        </w:rPr>
        <w:t>Upotreba digitalne tehnologije u svrhu praćenja i vrednovanja</w:t>
      </w:r>
    </w:p>
    <w:p w:rsidR="005D1341" w:rsidRDefault="005D1341" w:rsidP="005D1341">
      <w:pPr>
        <w:rPr>
          <w:rFonts w:ascii="Times New Roman" w:hAnsi="Times New Roman" w:cs="Times New Roman"/>
          <w:b/>
          <w:sz w:val="24"/>
          <w:szCs w:val="24"/>
        </w:rPr>
      </w:pPr>
    </w:p>
    <w:p w:rsidR="005D1341" w:rsidRPr="005D1341" w:rsidRDefault="005D1341" w:rsidP="005D1341">
      <w:pPr>
        <w:rPr>
          <w:rFonts w:ascii="Times New Roman" w:hAnsi="Times New Roman" w:cs="Times New Roman"/>
          <w:sz w:val="24"/>
          <w:szCs w:val="24"/>
        </w:rPr>
      </w:pPr>
      <w:r w:rsidRPr="005D1341">
        <w:rPr>
          <w:rFonts w:ascii="Times New Roman" w:hAnsi="Times New Roman" w:cs="Times New Roman"/>
          <w:sz w:val="24"/>
          <w:szCs w:val="24"/>
        </w:rPr>
        <w:t>Praćenje, vrednovanje i provjeravanje se provodi i pomoću digitalne tehnologije i to u vidu praćenja i vrednovanja zasnovano</w:t>
      </w:r>
      <w:r>
        <w:rPr>
          <w:rFonts w:ascii="Times New Roman" w:hAnsi="Times New Roman" w:cs="Times New Roman"/>
          <w:sz w:val="24"/>
          <w:szCs w:val="24"/>
        </w:rPr>
        <w:t xml:space="preserve">g na upotrebi računala i pomoću </w:t>
      </w:r>
      <w:r w:rsidRPr="005D1341">
        <w:rPr>
          <w:rFonts w:ascii="Times New Roman" w:hAnsi="Times New Roman" w:cs="Times New Roman"/>
          <w:sz w:val="24"/>
          <w:szCs w:val="24"/>
        </w:rPr>
        <w:t xml:space="preserve">različitih online digitalnih alata (npr. </w:t>
      </w:r>
      <w:proofErr w:type="spellStart"/>
      <w:r w:rsidRPr="005D1341"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 w:rsidRPr="005D1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341">
        <w:rPr>
          <w:rFonts w:ascii="Times New Roman" w:hAnsi="Times New Roman" w:cs="Times New Roman"/>
          <w:sz w:val="24"/>
          <w:szCs w:val="24"/>
        </w:rPr>
        <w:t>Plickers</w:t>
      </w:r>
      <w:proofErr w:type="spellEnd"/>
      <w:r w:rsidRPr="005D1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341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5D1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341">
        <w:rPr>
          <w:rFonts w:ascii="Times New Roman" w:hAnsi="Times New Roman" w:cs="Times New Roman"/>
          <w:sz w:val="24"/>
          <w:szCs w:val="24"/>
        </w:rPr>
        <w:t>Mentimeter</w:t>
      </w:r>
      <w:proofErr w:type="spellEnd"/>
      <w:r w:rsidRPr="005D1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341">
        <w:rPr>
          <w:rFonts w:ascii="Times New Roman" w:hAnsi="Times New Roman" w:cs="Times New Roman"/>
          <w:sz w:val="24"/>
          <w:szCs w:val="24"/>
        </w:rPr>
        <w:t>Testmoz</w:t>
      </w:r>
      <w:proofErr w:type="spellEnd"/>
      <w:r w:rsidRPr="005D1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341">
        <w:rPr>
          <w:rFonts w:ascii="Times New Roman" w:hAnsi="Times New Roman" w:cs="Times New Roman"/>
          <w:sz w:val="24"/>
          <w:szCs w:val="24"/>
        </w:rPr>
        <w:t>Socrative</w:t>
      </w:r>
      <w:proofErr w:type="spellEnd"/>
      <w:r w:rsidRPr="005D1341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Pr="005D1341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5D1341">
        <w:rPr>
          <w:rFonts w:ascii="Times New Roman" w:hAnsi="Times New Roman" w:cs="Times New Roman"/>
          <w:sz w:val="24"/>
          <w:szCs w:val="24"/>
        </w:rPr>
        <w:t xml:space="preserve"> itd.). Digitalna</w:t>
      </w:r>
      <w:r>
        <w:rPr>
          <w:rFonts w:ascii="Times New Roman" w:hAnsi="Times New Roman" w:cs="Times New Roman"/>
          <w:sz w:val="24"/>
          <w:szCs w:val="24"/>
        </w:rPr>
        <w:t xml:space="preserve"> tehnologija se češće koristi u </w:t>
      </w:r>
      <w:r w:rsidRPr="005D1341">
        <w:rPr>
          <w:rFonts w:ascii="Times New Roman" w:hAnsi="Times New Roman" w:cs="Times New Roman"/>
          <w:sz w:val="24"/>
          <w:szCs w:val="24"/>
        </w:rPr>
        <w:t>formativnom vrednovanju s ciljem poticanja učenika na učenje, poboljšanja učenja i poučavanja te pravodobnoga pružanja povra</w:t>
      </w:r>
      <w:r>
        <w:rPr>
          <w:rFonts w:ascii="Times New Roman" w:hAnsi="Times New Roman" w:cs="Times New Roman"/>
          <w:sz w:val="24"/>
          <w:szCs w:val="24"/>
        </w:rPr>
        <w:t xml:space="preserve">tne informacije. Ako se koristi </w:t>
      </w:r>
      <w:r w:rsidRPr="005D134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D1341">
        <w:rPr>
          <w:rFonts w:ascii="Times New Roman" w:hAnsi="Times New Roman" w:cs="Times New Roman"/>
          <w:sz w:val="24"/>
          <w:szCs w:val="24"/>
        </w:rPr>
        <w:t>sumativnom</w:t>
      </w:r>
      <w:proofErr w:type="spellEnd"/>
      <w:r w:rsidRPr="005D1341">
        <w:rPr>
          <w:rFonts w:ascii="Times New Roman" w:hAnsi="Times New Roman" w:cs="Times New Roman"/>
          <w:sz w:val="24"/>
          <w:szCs w:val="24"/>
        </w:rPr>
        <w:t xml:space="preserve"> vrednovanju, učenički radovi se vrednuju i ocjenjuju prema Kriteriju ocjenjivanja pisane provjere znanja.</w:t>
      </w:r>
    </w:p>
    <w:p w:rsidR="005D1341" w:rsidRPr="005D1341" w:rsidRDefault="005D1341" w:rsidP="005D1341">
      <w:pPr>
        <w:rPr>
          <w:rFonts w:ascii="Times New Roman" w:hAnsi="Times New Roman" w:cs="Times New Roman"/>
          <w:sz w:val="24"/>
          <w:szCs w:val="24"/>
        </w:rPr>
      </w:pPr>
    </w:p>
    <w:p w:rsidR="005D1341" w:rsidRDefault="005D1341" w:rsidP="008775E4">
      <w:pPr>
        <w:rPr>
          <w:rFonts w:ascii="Times New Roman" w:hAnsi="Times New Roman" w:cs="Times New Roman"/>
          <w:b/>
          <w:sz w:val="24"/>
          <w:szCs w:val="24"/>
        </w:rPr>
      </w:pPr>
    </w:p>
    <w:p w:rsidR="00B26709" w:rsidRDefault="008775E4" w:rsidP="008775E4">
      <w:pPr>
        <w:rPr>
          <w:rFonts w:ascii="Times New Roman" w:hAnsi="Times New Roman" w:cs="Times New Roman"/>
          <w:b/>
          <w:sz w:val="28"/>
          <w:szCs w:val="28"/>
        </w:rPr>
      </w:pPr>
      <w:r w:rsidRPr="005D1341">
        <w:rPr>
          <w:rFonts w:ascii="Times New Roman" w:hAnsi="Times New Roman" w:cs="Times New Roman"/>
          <w:b/>
          <w:sz w:val="28"/>
          <w:szCs w:val="28"/>
        </w:rPr>
        <w:t xml:space="preserve">Domaće zadaće </w:t>
      </w:r>
    </w:p>
    <w:p w:rsidR="005D1341" w:rsidRPr="005D1341" w:rsidRDefault="005D1341" w:rsidP="008775E4">
      <w:pPr>
        <w:rPr>
          <w:rFonts w:ascii="Times New Roman" w:hAnsi="Times New Roman" w:cs="Times New Roman"/>
          <w:b/>
          <w:sz w:val="28"/>
          <w:szCs w:val="28"/>
        </w:rPr>
      </w:pPr>
    </w:p>
    <w:p w:rsidR="005D1341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Domaće zadaće služe za provjeravanje učenikove samostalnosti i redovitosti rada te se ne vrednuju </w:t>
      </w:r>
      <w:proofErr w:type="spellStart"/>
      <w:r w:rsidRPr="00B26709">
        <w:rPr>
          <w:rFonts w:ascii="Times New Roman" w:hAnsi="Times New Roman" w:cs="Times New Roman"/>
          <w:sz w:val="24"/>
          <w:szCs w:val="24"/>
        </w:rPr>
        <w:t>sumativno</w:t>
      </w:r>
      <w:proofErr w:type="spellEnd"/>
      <w:r w:rsidRPr="00B26709">
        <w:rPr>
          <w:rFonts w:ascii="Times New Roman" w:hAnsi="Times New Roman" w:cs="Times New Roman"/>
          <w:sz w:val="24"/>
          <w:szCs w:val="24"/>
        </w:rPr>
        <w:t xml:space="preserve"> nego se iskazuju opisno. Na početku svakog sata konstatira se tko ima, a tko nema domaću zadaću i je li postojala kakva poteškoća kod rješavanja zadaće.</w:t>
      </w:r>
      <w:r w:rsidR="005D1341">
        <w:rPr>
          <w:rFonts w:ascii="Times New Roman" w:hAnsi="Times New Roman" w:cs="Times New Roman"/>
          <w:sz w:val="24"/>
          <w:szCs w:val="24"/>
        </w:rPr>
        <w:t xml:space="preserve"> Domaća zadaća provjerava se na način slučajnog odabira nekoliko učenika.</w:t>
      </w:r>
      <w:r w:rsidRPr="00B26709">
        <w:rPr>
          <w:rFonts w:ascii="Times New Roman" w:hAnsi="Times New Roman" w:cs="Times New Roman"/>
          <w:sz w:val="24"/>
          <w:szCs w:val="24"/>
        </w:rPr>
        <w:t xml:space="preserve"> Ukoliko </w:t>
      </w:r>
      <w:r w:rsidR="005D1341">
        <w:rPr>
          <w:rFonts w:ascii="Times New Roman" w:hAnsi="Times New Roman" w:cs="Times New Roman"/>
          <w:sz w:val="24"/>
          <w:szCs w:val="24"/>
        </w:rPr>
        <w:t>netko nije uspio</w:t>
      </w:r>
      <w:r w:rsidRPr="00B26709">
        <w:rPr>
          <w:rFonts w:ascii="Times New Roman" w:hAnsi="Times New Roman" w:cs="Times New Roman"/>
          <w:sz w:val="24"/>
          <w:szCs w:val="24"/>
        </w:rPr>
        <w:t xml:space="preserve"> riješiti neki zadatak, on se riješi pred cijelim razredom uz učiteljevu pomoć.</w:t>
      </w:r>
      <w:r w:rsidR="00E24EBC">
        <w:rPr>
          <w:rFonts w:ascii="Times New Roman" w:hAnsi="Times New Roman" w:cs="Times New Roman"/>
          <w:sz w:val="24"/>
          <w:szCs w:val="24"/>
        </w:rPr>
        <w:t xml:space="preserve"> Ukoliko dođe do potrebe </w:t>
      </w:r>
      <w:proofErr w:type="spellStart"/>
      <w:r w:rsidR="00E24EBC">
        <w:rPr>
          <w:rFonts w:ascii="Times New Roman" w:hAnsi="Times New Roman" w:cs="Times New Roman"/>
          <w:sz w:val="24"/>
          <w:szCs w:val="24"/>
        </w:rPr>
        <w:t>sumativnog</w:t>
      </w:r>
      <w:proofErr w:type="spellEnd"/>
      <w:r w:rsidR="00E24EBC">
        <w:rPr>
          <w:rFonts w:ascii="Times New Roman" w:hAnsi="Times New Roman" w:cs="Times New Roman"/>
          <w:sz w:val="24"/>
          <w:szCs w:val="24"/>
        </w:rPr>
        <w:t xml:space="preserve"> vrednovanja, ocjena iz domaće zadaće unosi se u rubriku Matematička komunikacija, kao svojevrsna povratna informacija o usvojenosti gradiva.</w:t>
      </w: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09" w:rsidRDefault="008775E4" w:rsidP="008775E4">
      <w:pPr>
        <w:rPr>
          <w:rFonts w:ascii="Times New Roman" w:hAnsi="Times New Roman" w:cs="Times New Roman"/>
          <w:b/>
          <w:sz w:val="28"/>
          <w:szCs w:val="28"/>
        </w:rPr>
      </w:pPr>
      <w:r w:rsidRPr="005D1341">
        <w:rPr>
          <w:rFonts w:ascii="Times New Roman" w:hAnsi="Times New Roman" w:cs="Times New Roman"/>
          <w:b/>
          <w:sz w:val="28"/>
          <w:szCs w:val="28"/>
        </w:rPr>
        <w:t xml:space="preserve">Odnos prema radu i formativno praćenje učenika </w:t>
      </w:r>
    </w:p>
    <w:p w:rsidR="005D1341" w:rsidRPr="005D1341" w:rsidRDefault="005D1341" w:rsidP="008775E4">
      <w:pPr>
        <w:rPr>
          <w:rFonts w:ascii="Times New Roman" w:hAnsi="Times New Roman" w:cs="Times New Roman"/>
          <w:b/>
          <w:sz w:val="28"/>
          <w:szCs w:val="28"/>
        </w:rPr>
      </w:pP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Pod formativnim praćenjem učenika podrazumijeva se redovito bilježenje zapažanja o razvoju njegova interesa za predmet, sposobnosti i motivacije, marljivosti, pozornosti na nastavi, radnih navika, ustrajnosti i temeljitosti u radu pri usvajanju ishoda. </w:t>
      </w:r>
    </w:p>
    <w:p w:rsidR="00B26709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 xml:space="preserve">Tijekom praćenja učenikova razvoja, u rubriku bilježaka u imeniku upisuju se samo ona učenikova zapažanja koja su učitelju uočljiva, a učeniku i roditelju razumljiva, te koja učitelju mogu pomoći u konačnom vrednovanju usvojenosti ishoda. U rubriku bilješke valja unijeti sažet opis razvoja učenikovih sposobnosti. Pri tome je bitno voditi računa da opis bude poticajan i pozitivan ako je to ikako moguće, ali i da prati ocijene te na taj način potkrijepi </w:t>
      </w:r>
      <w:proofErr w:type="spellStart"/>
      <w:r w:rsidRPr="00B26709">
        <w:rPr>
          <w:rFonts w:ascii="Times New Roman" w:hAnsi="Times New Roman" w:cs="Times New Roman"/>
          <w:sz w:val="24"/>
          <w:szCs w:val="24"/>
        </w:rPr>
        <w:t>sumativno</w:t>
      </w:r>
      <w:proofErr w:type="spellEnd"/>
      <w:r w:rsidRPr="00B26709">
        <w:rPr>
          <w:rFonts w:ascii="Times New Roman" w:hAnsi="Times New Roman" w:cs="Times New Roman"/>
          <w:sz w:val="24"/>
          <w:szCs w:val="24"/>
        </w:rPr>
        <w:t xml:space="preserve"> vrednovanje učenika. </w:t>
      </w:r>
    </w:p>
    <w:p w:rsidR="00AF7F8B" w:rsidRPr="00B26709" w:rsidRDefault="008775E4" w:rsidP="008775E4">
      <w:pPr>
        <w:rPr>
          <w:rFonts w:ascii="Times New Roman" w:hAnsi="Times New Roman" w:cs="Times New Roman"/>
          <w:sz w:val="24"/>
          <w:szCs w:val="24"/>
        </w:rPr>
      </w:pPr>
      <w:r w:rsidRPr="00B26709">
        <w:rPr>
          <w:rFonts w:ascii="Times New Roman" w:hAnsi="Times New Roman" w:cs="Times New Roman"/>
          <w:sz w:val="24"/>
          <w:szCs w:val="24"/>
        </w:rPr>
        <w:t>Zaključna ocjena iz Matematike mora se temeljiti na usvojenosti odgojno-obrazovnih ishoda, mora biti utemeljena na vjerodostojnim, valjanim i dokazivim informacijama o učenikovu učenju i napretku, o onome što je naučio i kako se razvio (stavak 2. iz članka 11. vezanog za zaključivanje ocjena).</w:t>
      </w:r>
    </w:p>
    <w:sectPr w:rsidR="00AF7F8B" w:rsidRPr="00B2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 Barlow MAT Light">
    <w:altName w:val="Calibri"/>
    <w:charset w:val="00"/>
    <w:family w:val="auto"/>
    <w:pitch w:val="variable"/>
    <w:sig w:usb0="A00000EF" w:usb1="0000205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18CB"/>
    <w:multiLevelType w:val="hybridMultilevel"/>
    <w:tmpl w:val="96024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E4"/>
    <w:rsid w:val="005D1341"/>
    <w:rsid w:val="008775E4"/>
    <w:rsid w:val="008E114F"/>
    <w:rsid w:val="009B3255"/>
    <w:rsid w:val="00A74F48"/>
    <w:rsid w:val="00AF7F8B"/>
    <w:rsid w:val="00B26709"/>
    <w:rsid w:val="00E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5C1C4C"/>
  <w15:chartTrackingRefBased/>
  <w15:docId w15:val="{5D205D54-805C-4754-BD2C-D2D0170F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Seifert</dc:creator>
  <cp:keywords/>
  <dc:description/>
  <cp:lastModifiedBy>Marina Seifert</cp:lastModifiedBy>
  <cp:revision>3</cp:revision>
  <dcterms:created xsi:type="dcterms:W3CDTF">2021-11-23T16:29:00Z</dcterms:created>
  <dcterms:modified xsi:type="dcterms:W3CDTF">2021-11-23T18:35:00Z</dcterms:modified>
</cp:coreProperties>
</file>